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2.0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Tr="005C68B5"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ОБЛАСТ</w:t>
            </w:r>
          </w:p>
          <w:p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E81FC1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bookmarkStart w:id="0" w:name="_GoBack"/>
            <w:bookmarkEnd w:id="0"/>
          </w:p>
        </w:tc>
      </w:tr>
      <w:tr w:rsidR="00E81FC1" w:rsidTr="005C68B5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ГОДИНА</w:t>
            </w:r>
          </w:p>
          <w:p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6B095D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рк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4.18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ОПУ и мерки 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4.31, 4.34, 4.36 и 4.37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бщините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E7536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9D1F59">
          <w:rPr>
            <w:rStyle w:val="Hyperlink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AE7266">
      <w:pPr>
        <w:pStyle w:val="ListParagraph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AB6F37">
        <w:tc>
          <w:tcPr>
            <w:tcW w:w="5812" w:type="dxa"/>
            <w:shd w:val="clear" w:color="auto" w:fill="FFD966" w:themeFill="accent4" w:themeFillTint="99"/>
          </w:tcPr>
          <w:p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 от отделните 1ленове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корективни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Предвидени и бюджетирани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Въведени оптимизации в работните процеси в администрациите, изпълняващи политиката по 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Повишаване на обществената ангажираност и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на планове за 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качеството на пътното поддържане чрез повишаване на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контрола от страна на стопаните на пътя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Годишни бюджетни разчети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032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Pr="00234918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234918" w:rsidRDefault="005F26B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5F26BF" w:rsidRPr="00234918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/моля попълнете конкретните планирани </w:t>
            </w:r>
            <w:r w:rsidR="00720C2C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обекти</w:t>
            </w:r>
            <w:r w:rsidR="00F0324E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auto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42287F" w:rsidRDefault="0042287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DD06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A2566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9938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0C4555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Извеждане на транзитните потоци извън населените места за успокояване на движението на входно – изходните артерии, през които преминават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Pr="00234918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планираните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конкретни мерки</w:t>
            </w:r>
            <w:r w:rsidR="005F26B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по общини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  <w:p w:rsidR="005F26BF" w:rsidRDefault="005F26BF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 и задръстванията, повишаване на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</w:p>
          <w:p w:rsidR="00A2566E" w:rsidRPr="000C4555" w:rsidRDefault="00A2566E" w:rsidP="006B4A7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Default="0042287F" w:rsidP="000C455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42287F" w:rsidRPr="00E86259" w:rsidRDefault="0042287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трафика, генериран от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използването на леки автомобили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  <w:p w:rsidR="00E0294B" w:rsidRPr="000C4555" w:rsidRDefault="00E0294B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E0294B" w:rsidRPr="00720C2C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E0294B">
            <w:pPr>
              <w:spacing w:after="80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</w:t>
            </w:r>
            <w:r w:rsidR="009D4B27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по общини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9D4B27" w:rsidRPr="000C4555" w:rsidRDefault="009D4B27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6B4A7C" w:rsidRDefault="006B4A7C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0C45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E0294B" w:rsidRPr="000C4555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E0294B" w:rsidRPr="00DC01B4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/моля попълнете планираните конкретни </w:t>
            </w:r>
            <w:r w:rsidR="008E2383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планирани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мерки </w:t>
            </w:r>
            <w:r w:rsidR="009D4B27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по общини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съгласно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="008E2383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Pr="000C4555" w:rsidRDefault="00E86259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62130" w:rsidRPr="000C4555" w:rsidTr="00684AFA">
        <w:tc>
          <w:tcPr>
            <w:tcW w:w="5812" w:type="dxa"/>
            <w:shd w:val="clear" w:color="auto" w:fill="FFFF00"/>
          </w:tcPr>
          <w:p w:rsidR="00362130" w:rsidRPr="00DC01B4" w:rsidRDefault="00362130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4.37 </w:t>
            </w:r>
            <w:r w:rsidR="00BC7405"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скорости, в т.ч. въвеждане на 30 км/ч зони</w:t>
            </w:r>
          </w:p>
          <w:p w:rsidR="00576CDB" w:rsidRPr="00DC01B4" w:rsidRDefault="00576CDB" w:rsidP="00576CD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76CDB" w:rsidRPr="00DC01B4" w:rsidRDefault="00576CDB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842" w:type="dxa"/>
            <w:shd w:val="clear" w:color="auto" w:fill="auto"/>
          </w:tcPr>
          <w:p w:rsidR="00A657E4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362130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362130" w:rsidRPr="00DC01B4" w:rsidRDefault="009D11A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8E2383" w:rsidRPr="00DC01B4" w:rsidRDefault="009D11A6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C7405" w:rsidRDefault="00BE4B63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DC01B4" w:rsidRDefault="00684AFA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Pr="00DC01B4" w:rsidRDefault="0042287F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497F7C"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576CDB" w:rsidRPr="000C4555" w:rsidRDefault="00576CD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Pr="000C4555" w:rsidRDefault="000C4555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497F7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дени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предпазни съоръжения</w:t>
            </w:r>
          </w:p>
          <w:p w:rsidR="008E2383" w:rsidRPr="000C4555" w:rsidRDefault="008E238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освобождаване на пътното платно от спрели и паркирани автомобили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1B7925" w:rsidRPr="000C4555" w:rsidRDefault="001B7925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Default="000C4555" w:rsidP="001B792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5F0D9F" w:rsidRPr="000C4555" w:rsidRDefault="005F0D9F" w:rsidP="001B792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C1596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C15965" w:rsidRPr="006D5C9B" w:rsidRDefault="00E56B61" w:rsidP="009938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6D5C9B" w:rsidRDefault="00E56B61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A2566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E56B61" w:rsidRPr="006D5C9B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89715C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C15965" w:rsidRDefault="00C15965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Pr="000C455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C1596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993861" w:rsidRDefault="009938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993861" w:rsidRPr="000C4555" w:rsidRDefault="009938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E56B61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E56B61" w:rsidRDefault="00E56B61" w:rsidP="00E56B6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lastRenderedPageBreak/>
              <w:t>ЦСМП, РЗИ, Областна администрация, Общини, БЧК, ООАА и доброволни формирования)</w:t>
            </w:r>
          </w:p>
          <w:p w:rsidR="00E56B61" w:rsidRPr="000C4555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Областна администрация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ОДМВР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A2566E" w:rsidRPr="000C4555" w:rsidRDefault="00A2566E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екипно взаимодействие между отделните спасителни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служби при спешни ситуации</w:t>
            </w:r>
          </w:p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8420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33" w:rsidRDefault="00116F33" w:rsidP="00784205">
      <w:pPr>
        <w:spacing w:after="0" w:line="240" w:lineRule="auto"/>
      </w:pPr>
      <w:r>
        <w:separator/>
      </w:r>
    </w:p>
  </w:endnote>
  <w:endnote w:type="continuationSeparator" w:id="0">
    <w:p w:rsidR="00116F33" w:rsidRDefault="00116F33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FC1" w:rsidRDefault="00E8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FC1" w:rsidRDefault="00E8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33" w:rsidRDefault="00116F33" w:rsidP="00784205">
      <w:pPr>
        <w:spacing w:after="0" w:line="240" w:lineRule="auto"/>
      </w:pPr>
      <w:r>
        <w:separator/>
      </w:r>
    </w:p>
  </w:footnote>
  <w:footnote w:type="continuationSeparator" w:id="0">
    <w:p w:rsidR="00116F33" w:rsidRDefault="00116F33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2655C"/>
    <w:rsid w:val="00041EB3"/>
    <w:rsid w:val="0005572D"/>
    <w:rsid w:val="00063FC1"/>
    <w:rsid w:val="000A01D8"/>
    <w:rsid w:val="000A0F78"/>
    <w:rsid w:val="000B0CC6"/>
    <w:rsid w:val="000B31E7"/>
    <w:rsid w:val="000B66E2"/>
    <w:rsid w:val="000C4555"/>
    <w:rsid w:val="000C6D58"/>
    <w:rsid w:val="000D3EDA"/>
    <w:rsid w:val="000F57DA"/>
    <w:rsid w:val="001166E4"/>
    <w:rsid w:val="00116F33"/>
    <w:rsid w:val="00123748"/>
    <w:rsid w:val="00136862"/>
    <w:rsid w:val="00196093"/>
    <w:rsid w:val="001B6355"/>
    <w:rsid w:val="001B7925"/>
    <w:rsid w:val="001E587F"/>
    <w:rsid w:val="001F7DC1"/>
    <w:rsid w:val="0023024D"/>
    <w:rsid w:val="00234918"/>
    <w:rsid w:val="0026091C"/>
    <w:rsid w:val="00260CE5"/>
    <w:rsid w:val="002751DA"/>
    <w:rsid w:val="00287F9C"/>
    <w:rsid w:val="002C4F03"/>
    <w:rsid w:val="002C5093"/>
    <w:rsid w:val="002D2658"/>
    <w:rsid w:val="002E1E00"/>
    <w:rsid w:val="002E3EF3"/>
    <w:rsid w:val="002E6AC4"/>
    <w:rsid w:val="002F4117"/>
    <w:rsid w:val="002F4385"/>
    <w:rsid w:val="00307C7F"/>
    <w:rsid w:val="00311769"/>
    <w:rsid w:val="00312B18"/>
    <w:rsid w:val="00333186"/>
    <w:rsid w:val="00362130"/>
    <w:rsid w:val="00376F5F"/>
    <w:rsid w:val="0038334A"/>
    <w:rsid w:val="003A1458"/>
    <w:rsid w:val="003A628D"/>
    <w:rsid w:val="003B6386"/>
    <w:rsid w:val="003B6FB4"/>
    <w:rsid w:val="003D1334"/>
    <w:rsid w:val="003E56BD"/>
    <w:rsid w:val="0042079B"/>
    <w:rsid w:val="004223D7"/>
    <w:rsid w:val="0042287F"/>
    <w:rsid w:val="00432F9F"/>
    <w:rsid w:val="00435158"/>
    <w:rsid w:val="004450CB"/>
    <w:rsid w:val="00453EBE"/>
    <w:rsid w:val="00472060"/>
    <w:rsid w:val="00476398"/>
    <w:rsid w:val="00497F7C"/>
    <w:rsid w:val="004B7DAA"/>
    <w:rsid w:val="004C3AFF"/>
    <w:rsid w:val="004D2F6C"/>
    <w:rsid w:val="004E156D"/>
    <w:rsid w:val="004F3D08"/>
    <w:rsid w:val="00501419"/>
    <w:rsid w:val="005073D9"/>
    <w:rsid w:val="00546C4B"/>
    <w:rsid w:val="005523A7"/>
    <w:rsid w:val="00561115"/>
    <w:rsid w:val="005736B0"/>
    <w:rsid w:val="00574B12"/>
    <w:rsid w:val="00576CDB"/>
    <w:rsid w:val="005C68B5"/>
    <w:rsid w:val="005E2339"/>
    <w:rsid w:val="005F0D9F"/>
    <w:rsid w:val="005F26BF"/>
    <w:rsid w:val="0060554F"/>
    <w:rsid w:val="00631299"/>
    <w:rsid w:val="006447AB"/>
    <w:rsid w:val="00684AFA"/>
    <w:rsid w:val="006B095D"/>
    <w:rsid w:val="006B4A7C"/>
    <w:rsid w:val="006B5309"/>
    <w:rsid w:val="006F192F"/>
    <w:rsid w:val="006F1A4F"/>
    <w:rsid w:val="006F412C"/>
    <w:rsid w:val="006F61C9"/>
    <w:rsid w:val="00710067"/>
    <w:rsid w:val="00715B92"/>
    <w:rsid w:val="00720C2C"/>
    <w:rsid w:val="00721559"/>
    <w:rsid w:val="00727817"/>
    <w:rsid w:val="00727D81"/>
    <w:rsid w:val="00763E14"/>
    <w:rsid w:val="00777805"/>
    <w:rsid w:val="00784205"/>
    <w:rsid w:val="00790F35"/>
    <w:rsid w:val="007A1A2B"/>
    <w:rsid w:val="007B1B9E"/>
    <w:rsid w:val="007B7331"/>
    <w:rsid w:val="007C14EA"/>
    <w:rsid w:val="007C50F0"/>
    <w:rsid w:val="007F45E6"/>
    <w:rsid w:val="00804B7C"/>
    <w:rsid w:val="00812DCD"/>
    <w:rsid w:val="008262ED"/>
    <w:rsid w:val="00843C25"/>
    <w:rsid w:val="00844994"/>
    <w:rsid w:val="008644F8"/>
    <w:rsid w:val="00867E96"/>
    <w:rsid w:val="00884B49"/>
    <w:rsid w:val="00884E9C"/>
    <w:rsid w:val="008876EC"/>
    <w:rsid w:val="0089715C"/>
    <w:rsid w:val="008A1C45"/>
    <w:rsid w:val="008B24F9"/>
    <w:rsid w:val="008C0C95"/>
    <w:rsid w:val="008E2383"/>
    <w:rsid w:val="008F7F51"/>
    <w:rsid w:val="00904B9A"/>
    <w:rsid w:val="0090656F"/>
    <w:rsid w:val="00915EE0"/>
    <w:rsid w:val="009263F7"/>
    <w:rsid w:val="0092737A"/>
    <w:rsid w:val="00933EB7"/>
    <w:rsid w:val="00955841"/>
    <w:rsid w:val="00957D4D"/>
    <w:rsid w:val="00993861"/>
    <w:rsid w:val="009A3468"/>
    <w:rsid w:val="009A605B"/>
    <w:rsid w:val="009D11A6"/>
    <w:rsid w:val="009D1F59"/>
    <w:rsid w:val="009D46E4"/>
    <w:rsid w:val="009D4B27"/>
    <w:rsid w:val="009D6F89"/>
    <w:rsid w:val="009E11A9"/>
    <w:rsid w:val="009F349A"/>
    <w:rsid w:val="00A138FA"/>
    <w:rsid w:val="00A24A31"/>
    <w:rsid w:val="00A2566E"/>
    <w:rsid w:val="00A32AA6"/>
    <w:rsid w:val="00A65441"/>
    <w:rsid w:val="00A657E4"/>
    <w:rsid w:val="00A7041A"/>
    <w:rsid w:val="00A70B85"/>
    <w:rsid w:val="00AB6F37"/>
    <w:rsid w:val="00AC273A"/>
    <w:rsid w:val="00AD22F6"/>
    <w:rsid w:val="00AE7266"/>
    <w:rsid w:val="00AF19C6"/>
    <w:rsid w:val="00AF2CD1"/>
    <w:rsid w:val="00B017E3"/>
    <w:rsid w:val="00B2506D"/>
    <w:rsid w:val="00B322A7"/>
    <w:rsid w:val="00B35187"/>
    <w:rsid w:val="00B44ABA"/>
    <w:rsid w:val="00B71686"/>
    <w:rsid w:val="00B741DD"/>
    <w:rsid w:val="00B818FF"/>
    <w:rsid w:val="00BB1531"/>
    <w:rsid w:val="00BB69A4"/>
    <w:rsid w:val="00BB7149"/>
    <w:rsid w:val="00BC7405"/>
    <w:rsid w:val="00BE2AEA"/>
    <w:rsid w:val="00BE380B"/>
    <w:rsid w:val="00BE4B63"/>
    <w:rsid w:val="00C06014"/>
    <w:rsid w:val="00C15965"/>
    <w:rsid w:val="00C218B3"/>
    <w:rsid w:val="00C44149"/>
    <w:rsid w:val="00C50844"/>
    <w:rsid w:val="00C53324"/>
    <w:rsid w:val="00C56147"/>
    <w:rsid w:val="00C67B58"/>
    <w:rsid w:val="00CA3121"/>
    <w:rsid w:val="00CA7B78"/>
    <w:rsid w:val="00D05F03"/>
    <w:rsid w:val="00D07F1E"/>
    <w:rsid w:val="00D10871"/>
    <w:rsid w:val="00D15720"/>
    <w:rsid w:val="00D220CA"/>
    <w:rsid w:val="00D453F5"/>
    <w:rsid w:val="00D61119"/>
    <w:rsid w:val="00D743C7"/>
    <w:rsid w:val="00D7656E"/>
    <w:rsid w:val="00DA1D7E"/>
    <w:rsid w:val="00DC01B4"/>
    <w:rsid w:val="00DD061C"/>
    <w:rsid w:val="00E0294B"/>
    <w:rsid w:val="00E0397D"/>
    <w:rsid w:val="00E136A6"/>
    <w:rsid w:val="00E42691"/>
    <w:rsid w:val="00E56B61"/>
    <w:rsid w:val="00E60765"/>
    <w:rsid w:val="00E75369"/>
    <w:rsid w:val="00E81FC1"/>
    <w:rsid w:val="00E82BB4"/>
    <w:rsid w:val="00E86259"/>
    <w:rsid w:val="00E947A5"/>
    <w:rsid w:val="00EF3919"/>
    <w:rsid w:val="00F0324E"/>
    <w:rsid w:val="00F24173"/>
    <w:rsid w:val="00F57116"/>
    <w:rsid w:val="00F95A98"/>
    <w:rsid w:val="00FC11BA"/>
    <w:rsid w:val="00FD650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F2FC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831B-38F5-46A5-B071-B77EE07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27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135</cp:revision>
  <dcterms:created xsi:type="dcterms:W3CDTF">2020-03-12T06:28:00Z</dcterms:created>
  <dcterms:modified xsi:type="dcterms:W3CDTF">2020-08-17T09:00:00Z</dcterms:modified>
</cp:coreProperties>
</file>